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602A3F" w14:textId="77777777" w:rsidR="00922CCF" w:rsidRDefault="00922CCF" w:rsidP="00922CCF">
      <w:pPr>
        <w:pStyle w:val="NoSpacing"/>
        <w:jc w:val="center"/>
      </w:pPr>
      <w:r w:rsidRPr="00111214">
        <w:rPr>
          <w:noProof/>
        </w:rPr>
        <w:drawing>
          <wp:inline distT="0" distB="0" distL="0" distR="0" wp14:anchorId="72C95670" wp14:editId="61E5FE99">
            <wp:extent cx="2072640" cy="1121484"/>
            <wp:effectExtent l="0" t="0" r="3810" b="254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473" cy="112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90C6" w14:textId="77777777" w:rsidR="00922CCF" w:rsidRPr="00E100E0" w:rsidRDefault="00922CCF" w:rsidP="00922CCF">
      <w:pPr>
        <w:pStyle w:val="NoSpacing"/>
        <w:jc w:val="center"/>
        <w:rPr>
          <w:b/>
          <w:noProof/>
          <w:sz w:val="28"/>
          <w:szCs w:val="28"/>
        </w:rPr>
      </w:pPr>
      <w:r w:rsidRPr="00E100E0">
        <w:rPr>
          <w:b/>
          <w:sz w:val="28"/>
          <w:szCs w:val="28"/>
        </w:rPr>
        <w:t>Conditions de participation</w:t>
      </w:r>
    </w:p>
    <w:p w14:paraId="6FD1B302" w14:textId="1F83FA36" w:rsidR="000C3250" w:rsidRPr="00E100E0" w:rsidRDefault="00922CCF" w:rsidP="00A24BA1">
      <w:pPr>
        <w:pStyle w:val="NoSpacing"/>
        <w:jc w:val="center"/>
        <w:rPr>
          <w:b/>
          <w:sz w:val="28"/>
          <w:szCs w:val="28"/>
        </w:rPr>
      </w:pPr>
      <w:r w:rsidRPr="00E100E0">
        <w:rPr>
          <w:b/>
          <w:sz w:val="28"/>
          <w:szCs w:val="28"/>
        </w:rPr>
        <w:t>Tournoi International d’Azur</w:t>
      </w:r>
    </w:p>
    <w:p w14:paraId="5ACD362E" w14:textId="77777777" w:rsidR="000C3250" w:rsidRDefault="000C3250">
      <w:pPr>
        <w:pStyle w:val="Normal1"/>
        <w:widowControl w:val="0"/>
        <w:spacing w:after="0" w:line="240" w:lineRule="auto"/>
      </w:pPr>
    </w:p>
    <w:p w14:paraId="0DA476A1" w14:textId="0E29FF80" w:rsidR="000C3250" w:rsidRPr="00F018AA" w:rsidRDefault="00A5423A">
      <w:pPr>
        <w:pStyle w:val="Normal1"/>
        <w:widowControl w:val="0"/>
        <w:spacing w:after="0" w:line="240" w:lineRule="auto"/>
        <w:rPr>
          <w:sz w:val="28"/>
          <w:szCs w:val="28"/>
        </w:rPr>
      </w:pPr>
      <w:r w:rsidRPr="00F018AA">
        <w:rPr>
          <w:b/>
          <w:sz w:val="28"/>
          <w:szCs w:val="28"/>
        </w:rPr>
        <w:t xml:space="preserve">Affiliation </w:t>
      </w:r>
      <w:r w:rsidR="00922CCF" w:rsidRPr="00F018AA">
        <w:rPr>
          <w:sz w:val="28"/>
          <w:szCs w:val="28"/>
        </w:rPr>
        <w:t>:</w:t>
      </w:r>
    </w:p>
    <w:p w14:paraId="7967B1E3" w14:textId="798B8A31" w:rsidR="000C3250" w:rsidRPr="00F018AA" w:rsidRDefault="00864CC2" w:rsidP="00E100E0">
      <w:pPr>
        <w:pStyle w:val="Normal1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>Tou</w:t>
      </w:r>
      <w:r w:rsidR="00FE02F1" w:rsidRPr="00F018AA">
        <w:rPr>
          <w:sz w:val="28"/>
          <w:szCs w:val="28"/>
        </w:rPr>
        <w:t>s les participants doivent être licencié</w:t>
      </w:r>
      <w:r w:rsidR="00291445" w:rsidRPr="00F018AA">
        <w:rPr>
          <w:sz w:val="28"/>
          <w:szCs w:val="28"/>
        </w:rPr>
        <w:t>s à une fédération de gymnastique (</w:t>
      </w:r>
      <w:r w:rsidR="00A5423A" w:rsidRPr="00F018AA">
        <w:rPr>
          <w:sz w:val="28"/>
          <w:szCs w:val="28"/>
        </w:rPr>
        <w:t>FFG ou FIG</w:t>
      </w:r>
      <w:r w:rsidR="00291445" w:rsidRPr="00F018AA">
        <w:rPr>
          <w:sz w:val="28"/>
          <w:szCs w:val="28"/>
        </w:rPr>
        <w:t xml:space="preserve"> ou autre)</w:t>
      </w:r>
    </w:p>
    <w:p w14:paraId="1A204289" w14:textId="767CB45D" w:rsidR="000C3250" w:rsidRPr="00F018AA" w:rsidRDefault="000C3250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</w:p>
    <w:p w14:paraId="62A538FD" w14:textId="1751CEC5" w:rsidR="000C3250" w:rsidRPr="00F018AA" w:rsidRDefault="00922CCF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  <w:r w:rsidRPr="00F018AA">
        <w:rPr>
          <w:b/>
          <w:sz w:val="28"/>
          <w:szCs w:val="28"/>
        </w:rPr>
        <w:t>Assurances </w:t>
      </w:r>
      <w:r w:rsidRPr="00F018AA">
        <w:rPr>
          <w:sz w:val="28"/>
          <w:szCs w:val="28"/>
        </w:rPr>
        <w:t>:</w:t>
      </w:r>
    </w:p>
    <w:p w14:paraId="29FFA994" w14:textId="77777777" w:rsidR="000D1420" w:rsidRPr="00F018AA" w:rsidRDefault="000D1420" w:rsidP="006C5541">
      <w:pPr>
        <w:pStyle w:val="Normal1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>Les gymnastes doivent avoir leurs engins, être licencié(e), être à jour de leur assurance.</w:t>
      </w:r>
    </w:p>
    <w:p w14:paraId="77883D17" w14:textId="0436163C" w:rsidR="000C3250" w:rsidRPr="00F018AA" w:rsidRDefault="00922CCF" w:rsidP="000D1420">
      <w:pPr>
        <w:pStyle w:val="Normal1"/>
        <w:widowControl w:val="0"/>
        <w:numPr>
          <w:ilvl w:val="1"/>
          <w:numId w:val="2"/>
        </w:numPr>
        <w:spacing w:after="0" w:line="240" w:lineRule="auto"/>
        <w:ind w:left="993" w:hanging="284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>Pour les clubs européen</w:t>
      </w:r>
      <w:r w:rsidR="00E100E0" w:rsidRPr="00F018AA">
        <w:rPr>
          <w:sz w:val="28"/>
          <w:szCs w:val="28"/>
        </w:rPr>
        <w:t>s</w:t>
      </w:r>
      <w:r w:rsidRPr="00F018AA">
        <w:rPr>
          <w:sz w:val="28"/>
          <w:szCs w:val="28"/>
        </w:rPr>
        <w:t> : prévoir votre carte européenne d’assurée social.</w:t>
      </w:r>
    </w:p>
    <w:p w14:paraId="409C8CDF" w14:textId="00466456" w:rsidR="000C3250" w:rsidRPr="00F018AA" w:rsidRDefault="00922CCF" w:rsidP="000D1420">
      <w:pPr>
        <w:pStyle w:val="Normal1"/>
        <w:widowControl w:val="0"/>
        <w:numPr>
          <w:ilvl w:val="1"/>
          <w:numId w:val="2"/>
        </w:numPr>
        <w:spacing w:after="0" w:line="240" w:lineRule="auto"/>
        <w:ind w:left="993" w:hanging="284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 xml:space="preserve">Pour les clubs </w:t>
      </w:r>
      <w:r w:rsidR="00E100E0" w:rsidRPr="00F018AA">
        <w:rPr>
          <w:sz w:val="28"/>
          <w:szCs w:val="28"/>
        </w:rPr>
        <w:t xml:space="preserve">non </w:t>
      </w:r>
      <w:r w:rsidRPr="00F018AA">
        <w:rPr>
          <w:sz w:val="28"/>
          <w:szCs w:val="28"/>
        </w:rPr>
        <w:t>européen</w:t>
      </w:r>
      <w:r w:rsidR="00E100E0" w:rsidRPr="00F018AA">
        <w:rPr>
          <w:sz w:val="28"/>
          <w:szCs w:val="28"/>
        </w:rPr>
        <w:t>s</w:t>
      </w:r>
      <w:r w:rsidRPr="00F018AA">
        <w:rPr>
          <w:sz w:val="28"/>
          <w:szCs w:val="28"/>
        </w:rPr>
        <w:t xml:space="preserve">, </w:t>
      </w:r>
      <w:r w:rsidR="00291445" w:rsidRPr="00F018AA">
        <w:rPr>
          <w:sz w:val="28"/>
          <w:szCs w:val="28"/>
        </w:rPr>
        <w:t xml:space="preserve">s’assurer d’avoir une </w:t>
      </w:r>
      <w:r w:rsidRPr="00F018AA">
        <w:rPr>
          <w:sz w:val="28"/>
          <w:szCs w:val="28"/>
        </w:rPr>
        <w:t>ass</w:t>
      </w:r>
      <w:r w:rsidR="00E100E0" w:rsidRPr="00F018AA">
        <w:rPr>
          <w:sz w:val="28"/>
          <w:szCs w:val="28"/>
        </w:rPr>
        <w:t xml:space="preserve">urance couvrant </w:t>
      </w:r>
      <w:r w:rsidRPr="00F018AA">
        <w:rPr>
          <w:sz w:val="28"/>
          <w:szCs w:val="28"/>
        </w:rPr>
        <w:t xml:space="preserve">sur cette </w:t>
      </w:r>
      <w:r w:rsidR="00E100E0" w:rsidRPr="00F018AA">
        <w:rPr>
          <w:sz w:val="28"/>
          <w:szCs w:val="28"/>
        </w:rPr>
        <w:t>évènement</w:t>
      </w:r>
      <w:r w:rsidRPr="00F018AA">
        <w:rPr>
          <w:sz w:val="28"/>
          <w:szCs w:val="28"/>
        </w:rPr>
        <w:t>.</w:t>
      </w:r>
    </w:p>
    <w:p w14:paraId="5EF80595" w14:textId="77777777" w:rsidR="000D1420" w:rsidRPr="00F018AA" w:rsidRDefault="00291445" w:rsidP="000D1420">
      <w:pPr>
        <w:pStyle w:val="Normal1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 xml:space="preserve">L’organisateur ne pourra être tenu responsable en cas d'accident, de maladie, de rapatriement, etc. </w:t>
      </w:r>
    </w:p>
    <w:p w14:paraId="50D5280B" w14:textId="630362D4" w:rsidR="000C3250" w:rsidRPr="00F018AA" w:rsidRDefault="00291445" w:rsidP="000D1420">
      <w:pPr>
        <w:pStyle w:val="Normal1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proofErr w:type="spellStart"/>
      <w:r w:rsidRPr="00F018AA">
        <w:rPr>
          <w:sz w:val="28"/>
          <w:szCs w:val="28"/>
        </w:rPr>
        <w:t>Tou</w:t>
      </w:r>
      <w:proofErr w:type="spellEnd"/>
      <w:r w:rsidR="000D1420" w:rsidRPr="00F018AA">
        <w:rPr>
          <w:sz w:val="28"/>
          <w:szCs w:val="28"/>
        </w:rPr>
        <w:t>(</w:t>
      </w:r>
      <w:r w:rsidRPr="00F018AA">
        <w:rPr>
          <w:sz w:val="28"/>
          <w:szCs w:val="28"/>
        </w:rPr>
        <w:t>te</w:t>
      </w:r>
      <w:r w:rsidR="000D1420" w:rsidRPr="00F018AA">
        <w:rPr>
          <w:sz w:val="28"/>
          <w:szCs w:val="28"/>
        </w:rPr>
        <w:t>)</w:t>
      </w:r>
      <w:r w:rsidRPr="00F018AA">
        <w:rPr>
          <w:sz w:val="28"/>
          <w:szCs w:val="28"/>
        </w:rPr>
        <w:t>s les participant</w:t>
      </w:r>
      <w:r w:rsidR="000D1420" w:rsidRPr="00F018AA">
        <w:rPr>
          <w:sz w:val="28"/>
          <w:szCs w:val="28"/>
        </w:rPr>
        <w:t>(e)</w:t>
      </w:r>
      <w:r w:rsidRPr="00F018AA">
        <w:rPr>
          <w:sz w:val="28"/>
          <w:szCs w:val="28"/>
        </w:rPr>
        <w:t xml:space="preserve">s sont responsables de prendre leurs propres dispositions afin de disposer de la couverture d’assurance valable nécessaire contre la maladie, les accidents et le rapatriement </w:t>
      </w:r>
      <w:r w:rsidR="000D1420" w:rsidRPr="00F018AA">
        <w:rPr>
          <w:sz w:val="28"/>
          <w:szCs w:val="28"/>
        </w:rPr>
        <w:t>pour</w:t>
      </w:r>
      <w:r w:rsidRPr="00F018AA">
        <w:rPr>
          <w:sz w:val="28"/>
          <w:szCs w:val="28"/>
        </w:rPr>
        <w:t xml:space="preserve"> tous les membres de leur délégation.</w:t>
      </w:r>
    </w:p>
    <w:p w14:paraId="14EC0900" w14:textId="77777777" w:rsidR="00291445" w:rsidRPr="00F018AA" w:rsidRDefault="00291445" w:rsidP="00291445">
      <w:pPr>
        <w:pStyle w:val="ListParagraph"/>
        <w:widowControl w:val="0"/>
        <w:spacing w:after="0" w:line="240" w:lineRule="auto"/>
        <w:ind w:left="1080"/>
        <w:jc w:val="both"/>
        <w:rPr>
          <w:sz w:val="28"/>
          <w:szCs w:val="28"/>
        </w:rPr>
      </w:pPr>
    </w:p>
    <w:p w14:paraId="1C6E1074" w14:textId="77777777" w:rsidR="000C3250" w:rsidRPr="00F018AA" w:rsidRDefault="00922CCF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  <w:r w:rsidRPr="00F018AA">
        <w:rPr>
          <w:b/>
          <w:sz w:val="28"/>
          <w:szCs w:val="28"/>
        </w:rPr>
        <w:t>Musiques </w:t>
      </w:r>
      <w:r w:rsidRPr="00F018AA">
        <w:rPr>
          <w:sz w:val="28"/>
          <w:szCs w:val="28"/>
        </w:rPr>
        <w:t>:</w:t>
      </w:r>
    </w:p>
    <w:p w14:paraId="4579FF8B" w14:textId="23A83C63" w:rsidR="000C3250" w:rsidRPr="00F018AA" w:rsidRDefault="00922CCF" w:rsidP="0023318E">
      <w:pPr>
        <w:pStyle w:val="Normal1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 xml:space="preserve">Les musiques doivent être </w:t>
      </w:r>
      <w:r w:rsidR="00FE02F1" w:rsidRPr="00F018AA">
        <w:rPr>
          <w:sz w:val="28"/>
          <w:szCs w:val="28"/>
        </w:rPr>
        <w:t>envoyées</w:t>
      </w:r>
      <w:r w:rsidRPr="00F018AA">
        <w:rPr>
          <w:sz w:val="28"/>
          <w:szCs w:val="28"/>
        </w:rPr>
        <w:t xml:space="preserve"> </w:t>
      </w:r>
      <w:r w:rsidR="00FE02F1" w:rsidRPr="00F018AA">
        <w:rPr>
          <w:sz w:val="28"/>
          <w:szCs w:val="28"/>
        </w:rPr>
        <w:t>au format de</w:t>
      </w:r>
      <w:r w:rsidRPr="00F018AA">
        <w:rPr>
          <w:sz w:val="28"/>
          <w:szCs w:val="28"/>
        </w:rPr>
        <w:t xml:space="preserve"> fichier MP3</w:t>
      </w:r>
      <w:r w:rsidR="00FE02F1" w:rsidRPr="00F018AA">
        <w:rPr>
          <w:sz w:val="28"/>
          <w:szCs w:val="28"/>
        </w:rPr>
        <w:t xml:space="preserve"> avant </w:t>
      </w:r>
      <w:r w:rsidR="00A24BA1" w:rsidRPr="00F018AA">
        <w:rPr>
          <w:sz w:val="28"/>
          <w:szCs w:val="28"/>
        </w:rPr>
        <w:t>l</w:t>
      </w:r>
      <w:r w:rsidR="00FE02F1" w:rsidRPr="00F018AA">
        <w:rPr>
          <w:sz w:val="28"/>
          <w:szCs w:val="28"/>
        </w:rPr>
        <w:t>e 15 juin</w:t>
      </w:r>
      <w:r w:rsidRPr="00F018AA">
        <w:rPr>
          <w:sz w:val="28"/>
          <w:szCs w:val="28"/>
        </w:rPr>
        <w:t xml:space="preserve">. </w:t>
      </w:r>
    </w:p>
    <w:p w14:paraId="531C9A19" w14:textId="290A1326" w:rsidR="000C3250" w:rsidRPr="00F018AA" w:rsidRDefault="00922CCF" w:rsidP="0023318E">
      <w:pPr>
        <w:pStyle w:val="Normal1"/>
        <w:widowControl w:val="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>Les fichi</w:t>
      </w:r>
      <w:r w:rsidR="00FE02F1" w:rsidRPr="00F018AA">
        <w:rPr>
          <w:sz w:val="28"/>
          <w:szCs w:val="28"/>
        </w:rPr>
        <w:t xml:space="preserve">ers MP3 doivent être nommé </w:t>
      </w:r>
      <w:r w:rsidR="000D1420" w:rsidRPr="00F018AA">
        <w:rPr>
          <w:sz w:val="28"/>
          <w:szCs w:val="28"/>
        </w:rPr>
        <w:t xml:space="preserve">ainsi : </w:t>
      </w:r>
      <w:r w:rsidR="00FE02F1" w:rsidRPr="00F018AA">
        <w:rPr>
          <w:sz w:val="28"/>
          <w:szCs w:val="28"/>
        </w:rPr>
        <w:t>NOM_PRENOM_</w:t>
      </w:r>
      <w:r w:rsidRPr="00F018AA">
        <w:rPr>
          <w:sz w:val="28"/>
          <w:szCs w:val="28"/>
        </w:rPr>
        <w:t>ENGIN</w:t>
      </w:r>
      <w:r w:rsidR="00FE02F1" w:rsidRPr="00F018AA">
        <w:rPr>
          <w:sz w:val="28"/>
          <w:szCs w:val="28"/>
        </w:rPr>
        <w:t>_CATEGORIE</w:t>
      </w:r>
      <w:r w:rsidRPr="00F018AA">
        <w:rPr>
          <w:sz w:val="28"/>
          <w:szCs w:val="28"/>
        </w:rPr>
        <w:t>.mp3</w:t>
      </w:r>
    </w:p>
    <w:p w14:paraId="0B508DEC" w14:textId="77777777" w:rsidR="000C3250" w:rsidRPr="00F018AA" w:rsidRDefault="000C3250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</w:p>
    <w:p w14:paraId="0FB8DA53" w14:textId="77777777" w:rsidR="000C3250" w:rsidRPr="00F018AA" w:rsidRDefault="000C3250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</w:p>
    <w:p w14:paraId="419C5421" w14:textId="77777777" w:rsidR="000C3250" w:rsidRPr="00F018AA" w:rsidRDefault="00922CCF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  <w:r w:rsidRPr="00F018AA">
        <w:rPr>
          <w:b/>
          <w:sz w:val="28"/>
          <w:szCs w:val="28"/>
        </w:rPr>
        <w:t>Palmarès </w:t>
      </w:r>
      <w:r w:rsidRPr="00F018AA">
        <w:rPr>
          <w:sz w:val="28"/>
          <w:szCs w:val="28"/>
        </w:rPr>
        <w:t>:</w:t>
      </w:r>
    </w:p>
    <w:p w14:paraId="255455C0" w14:textId="77777777" w:rsidR="000C3250" w:rsidRPr="00F018AA" w:rsidRDefault="00922CCF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>Disqualification en cas d’absence lors de la remise des prix.</w:t>
      </w:r>
    </w:p>
    <w:p w14:paraId="2F6A5F79" w14:textId="77777777" w:rsidR="000C3250" w:rsidRPr="00F018AA" w:rsidRDefault="000C3250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</w:p>
    <w:p w14:paraId="1EDD6BB1" w14:textId="77777777" w:rsidR="000C3250" w:rsidRPr="00F018AA" w:rsidRDefault="00922CCF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  <w:r w:rsidRPr="00F018AA">
        <w:rPr>
          <w:b/>
          <w:sz w:val="28"/>
          <w:szCs w:val="28"/>
        </w:rPr>
        <w:t>Repas des juges </w:t>
      </w:r>
      <w:r w:rsidRPr="00F018AA">
        <w:rPr>
          <w:sz w:val="28"/>
          <w:szCs w:val="28"/>
        </w:rPr>
        <w:t>:</w:t>
      </w:r>
    </w:p>
    <w:p w14:paraId="566A3CED" w14:textId="3BBC9773" w:rsidR="000C3250" w:rsidRPr="00F018AA" w:rsidRDefault="00922CCF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 xml:space="preserve">Le SPCOC </w:t>
      </w:r>
      <w:r w:rsidR="0023318E" w:rsidRPr="00F018AA">
        <w:rPr>
          <w:sz w:val="28"/>
          <w:szCs w:val="28"/>
        </w:rPr>
        <w:t xml:space="preserve">GR </w:t>
      </w:r>
      <w:r w:rsidRPr="00F018AA">
        <w:rPr>
          <w:sz w:val="28"/>
          <w:szCs w:val="28"/>
        </w:rPr>
        <w:t>offre le r</w:t>
      </w:r>
      <w:r w:rsidR="00A24BA1" w:rsidRPr="00F018AA">
        <w:rPr>
          <w:sz w:val="28"/>
          <w:szCs w:val="28"/>
        </w:rPr>
        <w:t>epas aux juges</w:t>
      </w:r>
      <w:r w:rsidR="00FE02F1" w:rsidRPr="00F018AA">
        <w:rPr>
          <w:sz w:val="28"/>
          <w:szCs w:val="28"/>
        </w:rPr>
        <w:t xml:space="preserve"> pendant la compétition</w:t>
      </w:r>
      <w:r w:rsidRPr="00F018AA">
        <w:rPr>
          <w:sz w:val="28"/>
          <w:szCs w:val="28"/>
        </w:rPr>
        <w:t xml:space="preserve">. </w:t>
      </w:r>
    </w:p>
    <w:p w14:paraId="263B6A45" w14:textId="77777777" w:rsidR="00864CC2" w:rsidRPr="00F018AA" w:rsidRDefault="00864CC2" w:rsidP="006C5541">
      <w:pPr>
        <w:pStyle w:val="Normal1"/>
        <w:widowControl w:val="0"/>
        <w:spacing w:after="0" w:line="240" w:lineRule="auto"/>
        <w:contextualSpacing/>
        <w:jc w:val="both"/>
        <w:rPr>
          <w:sz w:val="28"/>
          <w:szCs w:val="28"/>
        </w:rPr>
      </w:pPr>
    </w:p>
    <w:p w14:paraId="5068A6B1" w14:textId="77777777" w:rsidR="00864CC2" w:rsidRPr="00F018AA" w:rsidRDefault="00864CC2" w:rsidP="006C5541">
      <w:pPr>
        <w:pStyle w:val="Normal1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F018AA">
        <w:rPr>
          <w:b/>
          <w:sz w:val="28"/>
          <w:szCs w:val="28"/>
        </w:rPr>
        <w:t>Droit d’enregistrement :</w:t>
      </w:r>
    </w:p>
    <w:p w14:paraId="59CFB508" w14:textId="7105812D" w:rsidR="00864CC2" w:rsidRPr="00F018AA" w:rsidRDefault="00864CC2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 xml:space="preserve">Les </w:t>
      </w:r>
      <w:r w:rsidR="00A24BA1" w:rsidRPr="00F018AA">
        <w:rPr>
          <w:sz w:val="28"/>
          <w:szCs w:val="28"/>
        </w:rPr>
        <w:t xml:space="preserve">clubs </w:t>
      </w:r>
      <w:r w:rsidRPr="00F018AA">
        <w:rPr>
          <w:sz w:val="28"/>
          <w:szCs w:val="28"/>
        </w:rPr>
        <w:t xml:space="preserve">participants doivent </w:t>
      </w:r>
      <w:r w:rsidR="00A24BA1" w:rsidRPr="00F018AA">
        <w:rPr>
          <w:sz w:val="28"/>
          <w:szCs w:val="28"/>
        </w:rPr>
        <w:t xml:space="preserve">avoir réglé le montant des engagements de </w:t>
      </w:r>
      <w:r w:rsidRPr="00F018AA">
        <w:rPr>
          <w:sz w:val="28"/>
          <w:szCs w:val="28"/>
        </w:rPr>
        <w:t>leur</w:t>
      </w:r>
      <w:r w:rsidR="00A24BA1" w:rsidRPr="00F018AA">
        <w:rPr>
          <w:sz w:val="28"/>
          <w:szCs w:val="28"/>
        </w:rPr>
        <w:t>s</w:t>
      </w:r>
      <w:r w:rsidRPr="00F018AA">
        <w:rPr>
          <w:sz w:val="28"/>
          <w:szCs w:val="28"/>
        </w:rPr>
        <w:t xml:space="preserve"> </w:t>
      </w:r>
      <w:r w:rsidR="00A24BA1" w:rsidRPr="00F018AA">
        <w:rPr>
          <w:sz w:val="28"/>
          <w:szCs w:val="28"/>
        </w:rPr>
        <w:t>gymnastes et de leurs équipes</w:t>
      </w:r>
      <w:r w:rsidRPr="00F018AA">
        <w:rPr>
          <w:sz w:val="28"/>
          <w:szCs w:val="28"/>
        </w:rPr>
        <w:t>.</w:t>
      </w:r>
    </w:p>
    <w:p w14:paraId="6F9EE914" w14:textId="77777777" w:rsidR="00864CC2" w:rsidRPr="00F018AA" w:rsidRDefault="00864CC2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</w:p>
    <w:p w14:paraId="4AB1523D" w14:textId="457A8A16" w:rsidR="000C3250" w:rsidRPr="00F018AA" w:rsidRDefault="00922CCF" w:rsidP="006C5541">
      <w:pPr>
        <w:pStyle w:val="Normal1"/>
        <w:widowControl w:val="0"/>
        <w:spacing w:after="0" w:line="240" w:lineRule="auto"/>
        <w:jc w:val="both"/>
        <w:rPr>
          <w:sz w:val="28"/>
          <w:szCs w:val="28"/>
        </w:rPr>
      </w:pPr>
      <w:r w:rsidRPr="00F018AA">
        <w:rPr>
          <w:b/>
          <w:sz w:val="28"/>
          <w:szCs w:val="28"/>
        </w:rPr>
        <w:t xml:space="preserve">Ventes </w:t>
      </w:r>
      <w:r w:rsidR="00A24BA1" w:rsidRPr="00F018AA">
        <w:rPr>
          <w:b/>
          <w:sz w:val="28"/>
          <w:szCs w:val="28"/>
        </w:rPr>
        <w:t>durant la compét</w:t>
      </w:r>
      <w:r w:rsidR="00AA1100" w:rsidRPr="00F018AA">
        <w:rPr>
          <w:b/>
          <w:sz w:val="28"/>
          <w:szCs w:val="28"/>
        </w:rPr>
        <w:t>it</w:t>
      </w:r>
      <w:r w:rsidR="00A24BA1" w:rsidRPr="00F018AA">
        <w:rPr>
          <w:b/>
          <w:sz w:val="28"/>
          <w:szCs w:val="28"/>
        </w:rPr>
        <w:t>ion</w:t>
      </w:r>
      <w:r w:rsidRPr="00F018AA">
        <w:rPr>
          <w:sz w:val="28"/>
          <w:szCs w:val="28"/>
        </w:rPr>
        <w:t>:</w:t>
      </w:r>
    </w:p>
    <w:p w14:paraId="0FACC9E0" w14:textId="77777777" w:rsidR="000C3250" w:rsidRPr="00F018AA" w:rsidRDefault="00922CCF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bookmarkStart w:id="0" w:name="h.gjdgxs" w:colFirst="0" w:colLast="0"/>
      <w:bookmarkEnd w:id="0"/>
      <w:r w:rsidRPr="00F018AA">
        <w:rPr>
          <w:sz w:val="28"/>
          <w:szCs w:val="28"/>
        </w:rPr>
        <w:t>Possibilité de vendre et d’acheter ou d’échanger des justaucorps pendant la durée du Tournoi.</w:t>
      </w:r>
    </w:p>
    <w:p w14:paraId="32A130DE" w14:textId="028D62FD" w:rsidR="00A24BA1" w:rsidRPr="00F018AA" w:rsidRDefault="00A24BA1" w:rsidP="006C5541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 w:rsidRPr="00F018AA">
        <w:rPr>
          <w:sz w:val="28"/>
          <w:szCs w:val="28"/>
        </w:rPr>
        <w:t>Un stand Photo vendra des photos de la compétition pendant et après la compétition</w:t>
      </w:r>
      <w:r w:rsidR="000D1420" w:rsidRPr="00F018AA">
        <w:rPr>
          <w:sz w:val="28"/>
          <w:szCs w:val="28"/>
        </w:rPr>
        <w:t>.</w:t>
      </w:r>
    </w:p>
    <w:p w14:paraId="77CF274B" w14:textId="515F971F" w:rsidR="00E100E0" w:rsidRPr="00F018AA" w:rsidRDefault="00F018AA" w:rsidP="00F018AA">
      <w:pPr>
        <w:pStyle w:val="Normal1"/>
        <w:widowControl w:val="0"/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Des Vidéos</w:t>
      </w:r>
      <w:bookmarkStart w:id="1" w:name="_GoBack"/>
      <w:bookmarkEnd w:id="1"/>
      <w:r w:rsidR="000D1420" w:rsidRPr="00F018AA">
        <w:rPr>
          <w:sz w:val="28"/>
          <w:szCs w:val="28"/>
        </w:rPr>
        <w:t xml:space="preserve"> pourront </w:t>
      </w:r>
      <w:proofErr w:type="spellStart"/>
      <w:r w:rsidR="000D1420" w:rsidRPr="00F018AA">
        <w:rPr>
          <w:sz w:val="28"/>
          <w:szCs w:val="28"/>
        </w:rPr>
        <w:t>etre</w:t>
      </w:r>
      <w:proofErr w:type="spellEnd"/>
      <w:r w:rsidR="000D1420" w:rsidRPr="00F018AA">
        <w:rPr>
          <w:sz w:val="28"/>
          <w:szCs w:val="28"/>
        </w:rPr>
        <w:t xml:space="preserve"> utiliser par l’organisateur lors de promotion futures, </w:t>
      </w:r>
      <w:proofErr w:type="spellStart"/>
      <w:r w:rsidR="000D1420" w:rsidRPr="00F018AA">
        <w:rPr>
          <w:sz w:val="28"/>
          <w:szCs w:val="28"/>
        </w:rPr>
        <w:t>etre</w:t>
      </w:r>
      <w:proofErr w:type="spellEnd"/>
      <w:r w:rsidR="000D1420" w:rsidRPr="00F018AA">
        <w:rPr>
          <w:sz w:val="28"/>
          <w:szCs w:val="28"/>
        </w:rPr>
        <w:t xml:space="preserve"> publiées </w:t>
      </w:r>
      <w:r w:rsidR="00A24BA1" w:rsidRPr="00F018AA">
        <w:rPr>
          <w:sz w:val="28"/>
          <w:szCs w:val="28"/>
        </w:rPr>
        <w:t>pendant et après la compétition</w:t>
      </w:r>
      <w:r w:rsidR="000D1420" w:rsidRPr="00F018AA">
        <w:rPr>
          <w:sz w:val="28"/>
          <w:szCs w:val="28"/>
        </w:rPr>
        <w:t>.</w:t>
      </w:r>
    </w:p>
    <w:sectPr w:rsidR="00E100E0" w:rsidRPr="00F018AA">
      <w:pgSz w:w="11900" w:h="16840"/>
      <w:pgMar w:top="568" w:right="843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61F"/>
    <w:multiLevelType w:val="multilevel"/>
    <w:tmpl w:val="E38864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9236BAE"/>
    <w:multiLevelType w:val="multilevel"/>
    <w:tmpl w:val="9280BA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758F4075"/>
    <w:multiLevelType w:val="multilevel"/>
    <w:tmpl w:val="313E7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3250"/>
    <w:rsid w:val="000C3250"/>
    <w:rsid w:val="000D1420"/>
    <w:rsid w:val="0016038A"/>
    <w:rsid w:val="0023318E"/>
    <w:rsid w:val="00290F83"/>
    <w:rsid w:val="00291445"/>
    <w:rsid w:val="002C3AD1"/>
    <w:rsid w:val="005C49AD"/>
    <w:rsid w:val="005F5816"/>
    <w:rsid w:val="006C5541"/>
    <w:rsid w:val="00864CC2"/>
    <w:rsid w:val="00922CCF"/>
    <w:rsid w:val="00A24BA1"/>
    <w:rsid w:val="00A5423A"/>
    <w:rsid w:val="00AA1100"/>
    <w:rsid w:val="00E100E0"/>
    <w:rsid w:val="00E97B53"/>
    <w:rsid w:val="00F018AA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65EAB"/>
  <w15:docId w15:val="{A04DC269-F4FF-4872-A01C-F29CA920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85C86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C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C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922C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445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23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41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805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4436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de participation au TIA.docx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de participation au TIA.docx</dc:title>
  <dc:creator>Ferra, Frederic, Vodafone Automotive</dc:creator>
  <cp:lastModifiedBy>Ferra, Frederic, Vodafone Automotive</cp:lastModifiedBy>
  <cp:revision>13</cp:revision>
  <cp:lastPrinted>2018-01-12T22:47:00Z</cp:lastPrinted>
  <dcterms:created xsi:type="dcterms:W3CDTF">2016-02-09T17:41:00Z</dcterms:created>
  <dcterms:modified xsi:type="dcterms:W3CDTF">2020-01-05T21:37:00Z</dcterms:modified>
</cp:coreProperties>
</file>